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38F" w:rsidRDefault="00D4438F" w:rsidP="00E34A17">
      <w:pPr>
        <w:rPr>
          <w:sz w:val="24"/>
          <w:szCs w:val="24"/>
        </w:rPr>
      </w:pPr>
      <w:r>
        <w:rPr>
          <w:noProof/>
        </w:rPr>
        <w:pict>
          <v:shapetype id="_x0000_t202" coordsize="21600,21600" o:spt="202" path="m,l,21600r21600,l21600,xe">
            <v:stroke joinstyle="miter"/>
            <v:path gradientshapeok="t" o:connecttype="rect"/>
          </v:shapetype>
          <v:shape id="_x0000_s1026" type="#_x0000_t202" style="position:absolute;margin-left:97.05pt;margin-top:4.95pt;width:426pt;height:63pt;z-index:251656704;mso-wrap-distance-left:2.88pt;mso-wrap-distance-top:2.88pt;mso-wrap-distance-right:2.88pt;mso-wrap-distance-bottom:2.88pt" filled="f" fillcolor="black" stroked="f" strokeweight="0" insetpen="t">
            <v:stroke>
              <o:left v:ext="view" weight="0" joinstyle="miter" insetpen="t"/>
              <o:top v:ext="view" weight="0" joinstyle="miter" insetpen="t"/>
              <o:right v:ext="view" weight="0" joinstyle="miter" insetpen="t"/>
              <o:bottom v:ext="view" weight="0" joinstyle="miter" insetpen="t"/>
              <o:column v:ext="view" weight="0"/>
            </v:stroke>
            <v:shadow color="#ccc"/>
            <v:textbox style="mso-next-textbox:#_x0000_s1026;mso-column-margin:5.7pt;mso-rotate-with-shape:t;mso-fit-text-to-shape:t" inset="2.85pt,2.85pt,2.85pt,2.85pt">
              <w:txbxContent>
                <w:p w:rsidR="00D4438F" w:rsidRPr="00AF7F34" w:rsidRDefault="00D4438F" w:rsidP="00DF1CDE">
                  <w:pPr>
                    <w:jc w:val="center"/>
                    <w:rPr>
                      <w:b/>
                      <w:bCs/>
                      <w:i/>
                      <w:iCs/>
                      <w:color w:val="333399"/>
                      <w:sz w:val="36"/>
                      <w:szCs w:val="36"/>
                    </w:rPr>
                  </w:pPr>
                  <w:r w:rsidRPr="00AF7F34">
                    <w:rPr>
                      <w:b/>
                      <w:bCs/>
                      <w:i/>
                      <w:iCs/>
                      <w:color w:val="333399"/>
                      <w:sz w:val="36"/>
                      <w:szCs w:val="36"/>
                    </w:rPr>
                    <w:t>Cortland County Soil and Water Conservation District</w:t>
                  </w:r>
                </w:p>
                <w:p w:rsidR="00D4438F" w:rsidRPr="004833EA" w:rsidRDefault="00D4438F" w:rsidP="00DF1CDE">
                  <w:pPr>
                    <w:jc w:val="center"/>
                    <w:rPr>
                      <w:color w:val="333399"/>
                      <w:sz w:val="22"/>
                      <w:szCs w:val="22"/>
                    </w:rPr>
                  </w:pPr>
                  <w:r w:rsidRPr="004833EA">
                    <w:rPr>
                      <w:color w:val="333399"/>
                      <w:sz w:val="22"/>
                      <w:szCs w:val="22"/>
                    </w:rPr>
                    <w:t>100 Grange Place, Room 202, Cortland, NY 13045</w:t>
                  </w:r>
                </w:p>
                <w:p w:rsidR="00D4438F" w:rsidRPr="004833EA" w:rsidRDefault="00D4438F" w:rsidP="00DF1CDE">
                  <w:pPr>
                    <w:jc w:val="center"/>
                    <w:rPr>
                      <w:color w:val="333399"/>
                      <w:sz w:val="22"/>
                      <w:szCs w:val="22"/>
                    </w:rPr>
                  </w:pPr>
                  <w:r>
                    <w:rPr>
                      <w:color w:val="333399"/>
                      <w:sz w:val="22"/>
                      <w:szCs w:val="22"/>
                    </w:rPr>
                    <w:t>Phone: (607) 756-5991</w:t>
                  </w:r>
                  <w:r w:rsidRPr="004833EA">
                    <w:rPr>
                      <w:color w:val="333399"/>
                      <w:sz w:val="22"/>
                      <w:szCs w:val="22"/>
                    </w:rPr>
                    <w:t xml:space="preserve"> </w:t>
                  </w:r>
                  <w:r>
                    <w:rPr>
                      <w:color w:val="333399"/>
                      <w:sz w:val="22"/>
                      <w:szCs w:val="22"/>
                    </w:rPr>
                    <w:t>•</w:t>
                  </w:r>
                  <w:r w:rsidRPr="004833EA">
                    <w:rPr>
                      <w:color w:val="333399"/>
                      <w:sz w:val="22"/>
                      <w:szCs w:val="22"/>
                    </w:rPr>
                    <w:t xml:space="preserve"> Fax: (607) 756-0029</w:t>
                  </w: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alt="swcd Logo" style="position:absolute;margin-left:-40.8pt;margin-top:-20.9pt;width:139.35pt;height:152.85pt;z-index:-251660800;visibility:visible;mso-wrap-distance-left:2.88pt;mso-wrap-distance-top:2.88pt;mso-wrap-distance-right:2.88pt;mso-wrap-distance-bottom:2.88pt" strokeweight="0" insetpen="t">
            <v:imagedata r:id="rId7" o:title=""/>
          </v:shape>
        </w:pict>
      </w:r>
    </w:p>
    <w:p w:rsidR="00D4438F" w:rsidRDefault="00D4438F" w:rsidP="00E34A17">
      <w:pPr>
        <w:rPr>
          <w:sz w:val="24"/>
          <w:szCs w:val="24"/>
        </w:rPr>
      </w:pPr>
    </w:p>
    <w:p w:rsidR="00D4438F" w:rsidRDefault="00D4438F" w:rsidP="00E34A17">
      <w:pPr>
        <w:rPr>
          <w:sz w:val="24"/>
          <w:szCs w:val="24"/>
        </w:rPr>
      </w:pPr>
    </w:p>
    <w:p w:rsidR="00D4438F" w:rsidRDefault="00D4438F" w:rsidP="00DF1CDE">
      <w:pPr>
        <w:jc w:val="center"/>
        <w:rPr>
          <w:b/>
          <w:bCs/>
        </w:rPr>
      </w:pPr>
      <w:r>
        <w:rPr>
          <w:b/>
          <w:bCs/>
        </w:rPr>
        <w:tab/>
      </w:r>
    </w:p>
    <w:p w:rsidR="00D4438F" w:rsidRDefault="00D4438F" w:rsidP="00DF1CDE">
      <w:pPr>
        <w:jc w:val="center"/>
        <w:rPr>
          <w:b/>
          <w:bCs/>
        </w:rPr>
      </w:pPr>
    </w:p>
    <w:p w:rsidR="00D4438F" w:rsidRDefault="00D4438F" w:rsidP="00DF1CDE">
      <w:pPr>
        <w:ind w:right="-1080"/>
        <w:jc w:val="center"/>
        <w:rPr>
          <w:b/>
          <w:bCs/>
        </w:rPr>
      </w:pPr>
    </w:p>
    <w:p w:rsidR="00D4438F" w:rsidRDefault="00D4438F" w:rsidP="00DF1CDE">
      <w:pPr>
        <w:ind w:right="-1080"/>
        <w:jc w:val="center"/>
        <w:rPr>
          <w:b/>
          <w:bCs/>
        </w:rPr>
      </w:pPr>
    </w:p>
    <w:p w:rsidR="00D4438F" w:rsidRDefault="00D4438F" w:rsidP="00DF1CDE">
      <w:pPr>
        <w:ind w:right="-1080"/>
        <w:jc w:val="center"/>
        <w:rPr>
          <w:b/>
          <w:bCs/>
        </w:rPr>
      </w:pPr>
      <w:r>
        <w:rPr>
          <w:noProof/>
        </w:rPr>
        <w:pict>
          <v:shape id="_x0000_s1028" type="#_x0000_t202" style="position:absolute;left:0;text-align:left;margin-left:49.6pt;margin-top:7.05pt;width:443.95pt;height:36.1pt;z-index:251657728;mso-wrap-distance-left:2.88pt;mso-wrap-distance-top:2.88pt;mso-wrap-distance-right:2.88pt;mso-wrap-distance-bottom:2.88pt" filled="f" stroked="f" insetpen="t" o:cliptowrap="t">
            <v:fill color2="black"/>
            <v:shadow color="#ccc"/>
            <v:textbox style="mso-next-textbox:#_x0000_s1028;mso-column-margin:5.76pt" inset="2.88pt,2.88pt,2.88pt,2.88pt">
              <w:txbxContent>
                <w:p w:rsidR="00D4438F" w:rsidRPr="00CD233F" w:rsidRDefault="00D4438F" w:rsidP="00DF1CDE">
                  <w:pPr>
                    <w:rPr>
                      <w:b/>
                      <w:bCs/>
                      <w:i/>
                      <w:iCs/>
                      <w:color w:val="333399"/>
                      <w:sz w:val="22"/>
                      <w:szCs w:val="22"/>
                    </w:rPr>
                  </w:pPr>
                  <w:r w:rsidRPr="00CD233F">
                    <w:rPr>
                      <w:b/>
                      <w:bCs/>
                      <w:i/>
                      <w:iCs/>
                      <w:color w:val="333399"/>
                      <w:sz w:val="22"/>
                      <w:szCs w:val="22"/>
                    </w:rPr>
                    <w:t>SWCD...established to promote the conservation and wise use of our county’s natural resources</w:t>
                  </w:r>
                </w:p>
              </w:txbxContent>
            </v:textbox>
          </v:shape>
        </w:pict>
      </w:r>
      <w:r>
        <w:rPr>
          <w:noProof/>
        </w:rPr>
        <w:pict>
          <v:line id="_x0000_s1029" style="position:absolute;left:0;text-align:left;flip:y;z-index:251658752" from="46.4pt,4.75pt" to="511.3pt,4.95pt" strokecolor="green" strokeweight="1.75pt"/>
        </w:pict>
      </w:r>
      <w:r>
        <w:rPr>
          <w:b/>
          <w:bCs/>
        </w:rPr>
        <w:t xml:space="preserve">              </w:t>
      </w:r>
    </w:p>
    <w:p w:rsidR="00D4438F" w:rsidRDefault="00D4438F" w:rsidP="00DF1CDE">
      <w:pPr>
        <w:ind w:right="-1080"/>
        <w:jc w:val="center"/>
        <w:rPr>
          <w:b/>
          <w:bCs/>
        </w:rPr>
      </w:pPr>
      <w:r>
        <w:rPr>
          <w:noProof/>
        </w:rPr>
      </w:r>
      <w:r w:rsidRPr="00D4494A">
        <w:rPr>
          <w:b/>
          <w:bCs/>
        </w:rPr>
        <w:pict>
          <v:group id="_x0000_s1030" editas="canvas" style="width:464.9pt;height:31.25pt;mso-position-horizontal-relative:char;mso-position-vertical-relative:line" coordorigin="3195,2522" coordsize="6830,274">
            <v:shape id="_x0000_s1031" type="#_x0000_t75" style="position:absolute;left:3195;top:2522;width:6830;height:274" o:preferrelative="f" strokeweight="1.5pt">
              <v:fill o:detectmouseclick="t"/>
              <v:path o:extrusionok="t" o:connecttype="none"/>
              <o:lock v:ext="edit" aspectratio="f" text="t"/>
            </v:shape>
            <w10:anchorlock/>
          </v:group>
        </w:pict>
      </w:r>
    </w:p>
    <w:p w:rsidR="00D4438F" w:rsidRPr="00B65331" w:rsidRDefault="00D4438F" w:rsidP="00DF1CDE">
      <w:pPr>
        <w:ind w:right="-1080"/>
        <w:jc w:val="center"/>
        <w:rPr>
          <w:b/>
          <w:bCs/>
          <w:color w:val="008000"/>
          <w:u w:val="single"/>
        </w:rPr>
      </w:pPr>
    </w:p>
    <w:p w:rsidR="00D4438F" w:rsidRDefault="00D4438F" w:rsidP="00DF1CDE">
      <w:pPr>
        <w:jc w:val="center"/>
        <w:rPr>
          <w:b/>
          <w:bCs/>
        </w:rPr>
      </w:pPr>
    </w:p>
    <w:p w:rsidR="00D4438F" w:rsidRDefault="00D4438F" w:rsidP="00DF1CDE">
      <w:pPr>
        <w:ind w:left="-360" w:right="-360"/>
        <w:jc w:val="both"/>
      </w:pPr>
    </w:p>
    <w:p w:rsidR="00D4438F" w:rsidRDefault="00D4438F" w:rsidP="00E34A17">
      <w:pPr>
        <w:rPr>
          <w:sz w:val="24"/>
          <w:szCs w:val="24"/>
        </w:rPr>
      </w:pPr>
      <w:r>
        <w:rPr>
          <w:sz w:val="24"/>
          <w:szCs w:val="24"/>
        </w:rPr>
        <w:t>December 28, 2009</w:t>
      </w:r>
    </w:p>
    <w:p w:rsidR="00D4438F" w:rsidRDefault="00D4438F" w:rsidP="00E34A17">
      <w:pPr>
        <w:rPr>
          <w:sz w:val="24"/>
          <w:szCs w:val="24"/>
        </w:rPr>
      </w:pPr>
    </w:p>
    <w:p w:rsidR="00D4438F" w:rsidRDefault="00D4438F" w:rsidP="00E34A17">
      <w:pPr>
        <w:rPr>
          <w:sz w:val="24"/>
          <w:szCs w:val="24"/>
        </w:rPr>
      </w:pPr>
    </w:p>
    <w:p w:rsidR="00D4438F" w:rsidRPr="00E34A17" w:rsidRDefault="00D4438F" w:rsidP="00E34A17">
      <w:pPr>
        <w:rPr>
          <w:sz w:val="24"/>
          <w:szCs w:val="24"/>
        </w:rPr>
      </w:pPr>
      <w:r w:rsidRPr="00E34A17">
        <w:rPr>
          <w:sz w:val="24"/>
          <w:szCs w:val="24"/>
        </w:rPr>
        <w:t>Jack K. Dahl, Director</w:t>
      </w:r>
    </w:p>
    <w:p w:rsidR="00D4438F" w:rsidRPr="00E34A17" w:rsidRDefault="00D4438F" w:rsidP="00E34A17">
      <w:pPr>
        <w:rPr>
          <w:sz w:val="24"/>
          <w:szCs w:val="24"/>
        </w:rPr>
      </w:pPr>
      <w:r w:rsidRPr="00E34A17">
        <w:rPr>
          <w:sz w:val="24"/>
          <w:szCs w:val="24"/>
        </w:rPr>
        <w:t>Bureau of Oil and Gas Regulations</w:t>
      </w:r>
    </w:p>
    <w:p w:rsidR="00D4438F" w:rsidRPr="00E34A17" w:rsidRDefault="00D4438F" w:rsidP="00E34A17">
      <w:pPr>
        <w:rPr>
          <w:sz w:val="24"/>
          <w:szCs w:val="24"/>
        </w:rPr>
      </w:pPr>
      <w:r w:rsidRPr="00E34A17">
        <w:rPr>
          <w:sz w:val="24"/>
          <w:szCs w:val="24"/>
        </w:rPr>
        <w:t>NYSDEC Division of Mineral Resources</w:t>
      </w:r>
    </w:p>
    <w:p w:rsidR="00D4438F" w:rsidRPr="00E34A17" w:rsidRDefault="00D4438F" w:rsidP="00E34A17">
      <w:pPr>
        <w:rPr>
          <w:sz w:val="24"/>
          <w:szCs w:val="24"/>
        </w:rPr>
      </w:pPr>
      <w:r w:rsidRPr="00E34A17">
        <w:rPr>
          <w:sz w:val="24"/>
          <w:szCs w:val="24"/>
        </w:rPr>
        <w:t>625 Broadway, Third Floor</w:t>
      </w:r>
    </w:p>
    <w:p w:rsidR="00D4438F" w:rsidRPr="00E34A17" w:rsidRDefault="00D4438F" w:rsidP="00E34A17">
      <w:pPr>
        <w:rPr>
          <w:sz w:val="24"/>
          <w:szCs w:val="24"/>
        </w:rPr>
      </w:pPr>
      <w:r>
        <w:rPr>
          <w:sz w:val="24"/>
          <w:szCs w:val="24"/>
        </w:rPr>
        <w:t xml:space="preserve">Albany, </w:t>
      </w:r>
      <w:r w:rsidRPr="00E34A17">
        <w:rPr>
          <w:sz w:val="24"/>
          <w:szCs w:val="24"/>
        </w:rPr>
        <w:t>NY  12233-6500</w:t>
      </w:r>
    </w:p>
    <w:p w:rsidR="00D4438F" w:rsidRDefault="00D4438F" w:rsidP="005808FE">
      <w:pPr>
        <w:rPr>
          <w:sz w:val="24"/>
          <w:szCs w:val="24"/>
        </w:rPr>
      </w:pPr>
    </w:p>
    <w:p w:rsidR="00D4438F" w:rsidRPr="00E34A17" w:rsidRDefault="00D4438F" w:rsidP="005808FE">
      <w:pPr>
        <w:rPr>
          <w:sz w:val="24"/>
          <w:szCs w:val="24"/>
        </w:rPr>
      </w:pPr>
      <w:r w:rsidRPr="00E34A17">
        <w:rPr>
          <w:sz w:val="24"/>
          <w:szCs w:val="24"/>
        </w:rPr>
        <w:t>Attn:  dSGEIS Comments</w:t>
      </w:r>
    </w:p>
    <w:p w:rsidR="00D4438F" w:rsidRPr="00E34A17" w:rsidRDefault="00D4438F" w:rsidP="00E34A17">
      <w:pPr>
        <w:rPr>
          <w:sz w:val="24"/>
          <w:szCs w:val="24"/>
        </w:rPr>
      </w:pPr>
    </w:p>
    <w:p w:rsidR="00D4438F" w:rsidRDefault="00D4438F" w:rsidP="00E34A17">
      <w:pPr>
        <w:rPr>
          <w:sz w:val="24"/>
          <w:szCs w:val="24"/>
        </w:rPr>
      </w:pPr>
      <w:r w:rsidRPr="00E34A17">
        <w:rPr>
          <w:sz w:val="24"/>
          <w:szCs w:val="24"/>
        </w:rPr>
        <w:t>Dear Mr. Dahl:</w:t>
      </w:r>
    </w:p>
    <w:p w:rsidR="00D4438F" w:rsidRDefault="00D4438F" w:rsidP="00E34A17">
      <w:pPr>
        <w:rPr>
          <w:sz w:val="24"/>
          <w:szCs w:val="24"/>
        </w:rPr>
      </w:pPr>
    </w:p>
    <w:p w:rsidR="00D4438F" w:rsidRDefault="00D4438F" w:rsidP="00E34A17">
      <w:pPr>
        <w:rPr>
          <w:sz w:val="24"/>
          <w:szCs w:val="24"/>
        </w:rPr>
      </w:pPr>
      <w:r>
        <w:rPr>
          <w:sz w:val="24"/>
          <w:szCs w:val="24"/>
        </w:rPr>
        <w:t>The following c</w:t>
      </w:r>
      <w:r w:rsidRPr="008C1C05">
        <w:rPr>
          <w:sz w:val="24"/>
          <w:szCs w:val="24"/>
        </w:rPr>
        <w:t xml:space="preserve">omments on </w:t>
      </w:r>
      <w:r>
        <w:rPr>
          <w:sz w:val="24"/>
          <w:szCs w:val="24"/>
        </w:rPr>
        <w:t xml:space="preserve">the </w:t>
      </w:r>
      <w:r w:rsidRPr="008C1C05">
        <w:rPr>
          <w:b/>
          <w:bCs/>
          <w:sz w:val="24"/>
          <w:szCs w:val="24"/>
        </w:rPr>
        <w:t>Draft Supplemental Generic Environmental Impact Statement on the Oil, Gas and Solution Mining Regulatory Program</w:t>
      </w:r>
      <w:r>
        <w:rPr>
          <w:sz w:val="24"/>
          <w:szCs w:val="24"/>
        </w:rPr>
        <w:t xml:space="preserve"> are submitted on behalf of the </w:t>
      </w:r>
      <w:r w:rsidRPr="008C1C05">
        <w:rPr>
          <w:sz w:val="24"/>
          <w:szCs w:val="24"/>
        </w:rPr>
        <w:t>Cortland County Soil and Water Conservation District</w:t>
      </w:r>
      <w:r>
        <w:rPr>
          <w:sz w:val="24"/>
          <w:szCs w:val="24"/>
        </w:rPr>
        <w:t>.</w:t>
      </w:r>
    </w:p>
    <w:p w:rsidR="00D4438F" w:rsidRPr="008C1C05" w:rsidRDefault="00D4438F">
      <w:pPr>
        <w:rPr>
          <w:sz w:val="24"/>
          <w:szCs w:val="24"/>
        </w:rPr>
      </w:pPr>
    </w:p>
    <w:p w:rsidR="00D4438F" w:rsidRPr="00241431" w:rsidRDefault="00D4438F" w:rsidP="00CA3B40">
      <w:pPr>
        <w:rPr>
          <w:sz w:val="24"/>
          <w:szCs w:val="24"/>
          <w:u w:val="single"/>
        </w:rPr>
      </w:pPr>
      <w:r w:rsidRPr="00241431">
        <w:rPr>
          <w:sz w:val="24"/>
          <w:szCs w:val="24"/>
          <w:u w:val="single"/>
        </w:rPr>
        <w:t>Purpose</w:t>
      </w:r>
      <w:r>
        <w:rPr>
          <w:sz w:val="24"/>
          <w:szCs w:val="24"/>
          <w:u w:val="single"/>
        </w:rPr>
        <w:t>/Scope</w:t>
      </w:r>
    </w:p>
    <w:p w:rsidR="00D4438F" w:rsidRDefault="00D4438F" w:rsidP="00CA3B40">
      <w:pPr>
        <w:rPr>
          <w:sz w:val="24"/>
          <w:szCs w:val="24"/>
        </w:rPr>
      </w:pPr>
      <w:r>
        <w:rPr>
          <w:sz w:val="24"/>
          <w:szCs w:val="24"/>
        </w:rPr>
        <w:t xml:space="preserve">The </w:t>
      </w:r>
      <w:r w:rsidRPr="008C1C05">
        <w:rPr>
          <w:sz w:val="24"/>
          <w:szCs w:val="24"/>
        </w:rPr>
        <w:t>Department, in this GEIS and the 1992 GEIS</w:t>
      </w:r>
      <w:r>
        <w:rPr>
          <w:sz w:val="24"/>
          <w:szCs w:val="24"/>
        </w:rPr>
        <w:t>,</w:t>
      </w:r>
      <w:r w:rsidRPr="008C1C05">
        <w:rPr>
          <w:sz w:val="24"/>
          <w:szCs w:val="24"/>
        </w:rPr>
        <w:t xml:space="preserve"> fail</w:t>
      </w:r>
      <w:r>
        <w:rPr>
          <w:sz w:val="24"/>
          <w:szCs w:val="24"/>
        </w:rPr>
        <w:t>s</w:t>
      </w:r>
      <w:r w:rsidRPr="008C1C05">
        <w:rPr>
          <w:sz w:val="24"/>
          <w:szCs w:val="24"/>
        </w:rPr>
        <w:t xml:space="preserve"> to adequately address the cumulative environmental impacts associated with Marcellus </w:t>
      </w:r>
      <w:r>
        <w:rPr>
          <w:sz w:val="24"/>
          <w:szCs w:val="24"/>
        </w:rPr>
        <w:t xml:space="preserve">shale </w:t>
      </w:r>
      <w:r w:rsidRPr="008C1C05">
        <w:rPr>
          <w:sz w:val="24"/>
          <w:szCs w:val="24"/>
        </w:rPr>
        <w:t xml:space="preserve">gas production.  By its design, this GEIS was limited in scope and purpose.  It does not reconsider any of the 1992 findings as they relate to </w:t>
      </w:r>
      <w:r>
        <w:rPr>
          <w:sz w:val="24"/>
          <w:szCs w:val="24"/>
        </w:rPr>
        <w:t xml:space="preserve">the </w:t>
      </w:r>
      <w:r w:rsidRPr="008C1C05">
        <w:rPr>
          <w:sz w:val="24"/>
          <w:szCs w:val="24"/>
        </w:rPr>
        <w:t>overall impact of this industry on our landscape.  The impact of large well pads with multiple wells</w:t>
      </w:r>
      <w:r>
        <w:rPr>
          <w:sz w:val="24"/>
          <w:szCs w:val="24"/>
        </w:rPr>
        <w:t>,</w:t>
      </w:r>
      <w:r w:rsidRPr="008C1C05">
        <w:rPr>
          <w:sz w:val="24"/>
          <w:szCs w:val="24"/>
        </w:rPr>
        <w:t xml:space="preserve"> and the associated pipelines and infrastructure</w:t>
      </w:r>
      <w:r>
        <w:rPr>
          <w:sz w:val="24"/>
          <w:szCs w:val="24"/>
        </w:rPr>
        <w:t>,</w:t>
      </w:r>
      <w:r w:rsidRPr="008C1C05">
        <w:rPr>
          <w:sz w:val="24"/>
          <w:szCs w:val="24"/>
        </w:rPr>
        <w:t xml:space="preserve"> was only really considered within the context of the three key factors prompting the supplemental GEIS – water use in excess of the previous GEIS assumptions, drilling in the NYC watershed, and longer duration of drilling.  Only the latter provides any consideration of these cumulative effects, and the conclusion is that fewer larger pads will have less impact than numerous small pads because drilling may be done more efficiently with up to two rigs per pad and sequential drilling of wells - one continuous activity in a single mobilization.  </w:t>
      </w:r>
    </w:p>
    <w:p w:rsidR="00D4438F" w:rsidRDefault="00D4438F" w:rsidP="00CA3B40">
      <w:pPr>
        <w:rPr>
          <w:sz w:val="24"/>
          <w:szCs w:val="24"/>
        </w:rPr>
      </w:pPr>
    </w:p>
    <w:p w:rsidR="00D4438F" w:rsidRPr="008C1C05" w:rsidRDefault="00D4438F" w:rsidP="00CA3B40">
      <w:pPr>
        <w:rPr>
          <w:sz w:val="24"/>
          <w:szCs w:val="24"/>
        </w:rPr>
      </w:pPr>
      <w:r>
        <w:rPr>
          <w:sz w:val="24"/>
          <w:szCs w:val="24"/>
        </w:rPr>
        <w:t>This</w:t>
      </w:r>
      <w:r w:rsidRPr="008C1C05">
        <w:rPr>
          <w:sz w:val="24"/>
          <w:szCs w:val="24"/>
        </w:rPr>
        <w:t xml:space="preserve"> GEIS states on numerous occasions that the type of drilling and activity expected to develop the Marcellus shale differs significantly in practice from oil and gas explo</w:t>
      </w:r>
      <w:r>
        <w:rPr>
          <w:sz w:val="24"/>
          <w:szCs w:val="24"/>
        </w:rPr>
        <w:t>ration</w:t>
      </w:r>
      <w:r w:rsidRPr="008C1C05">
        <w:rPr>
          <w:sz w:val="24"/>
          <w:szCs w:val="24"/>
        </w:rPr>
        <w:t xml:space="preserve"> we have seen to date in New York.  While there </w:t>
      </w:r>
      <w:r>
        <w:rPr>
          <w:sz w:val="24"/>
          <w:szCs w:val="24"/>
        </w:rPr>
        <w:t>is some similarity</w:t>
      </w:r>
      <w:r w:rsidRPr="008C1C05">
        <w:rPr>
          <w:sz w:val="24"/>
          <w:szCs w:val="24"/>
        </w:rPr>
        <w:t xml:space="preserve"> </w:t>
      </w:r>
      <w:r>
        <w:rPr>
          <w:sz w:val="24"/>
          <w:szCs w:val="24"/>
        </w:rPr>
        <w:t>to</w:t>
      </w:r>
      <w:r w:rsidRPr="008C1C05">
        <w:rPr>
          <w:sz w:val="24"/>
          <w:szCs w:val="24"/>
        </w:rPr>
        <w:t xml:space="preserve"> the activities reviewed 20 years ago (which are the basis for the 1992 GEIS and its conclusions), the new high-volume hydraulic horizontal fracturing process being reviewed </w:t>
      </w:r>
      <w:r>
        <w:rPr>
          <w:sz w:val="24"/>
          <w:szCs w:val="24"/>
        </w:rPr>
        <w:t>now</w:t>
      </w:r>
      <w:r w:rsidRPr="008C1C05">
        <w:rPr>
          <w:sz w:val="24"/>
          <w:szCs w:val="24"/>
        </w:rPr>
        <w:t xml:space="preserve"> is vastly different. The large volumes of water and harmful chemicals</w:t>
      </w:r>
      <w:r>
        <w:rPr>
          <w:sz w:val="24"/>
          <w:szCs w:val="24"/>
        </w:rPr>
        <w:t xml:space="preserve"> on-site</w:t>
      </w:r>
      <w:r w:rsidRPr="008C1C05">
        <w:rPr>
          <w:sz w:val="24"/>
          <w:szCs w:val="24"/>
        </w:rPr>
        <w:t>, water use/withdrawals, proposed impoundments, proposed on-site treatment and high-volume disposal, as well as the addi</w:t>
      </w:r>
      <w:r>
        <w:rPr>
          <w:sz w:val="24"/>
          <w:szCs w:val="24"/>
        </w:rPr>
        <w:t xml:space="preserve">tional environmental impacts from the transportation </w:t>
      </w:r>
      <w:r w:rsidRPr="008C1C05">
        <w:rPr>
          <w:sz w:val="24"/>
          <w:szCs w:val="24"/>
        </w:rPr>
        <w:t xml:space="preserve">of water and chemicals and long duration of the proposed activities, all represent significant departures from circumstances and potential impacts under consideration in the 1992 GEIS and supporting documents. The Department needs to evaluate the impact that the size and scope of this proposed activity will have on the environment, promulgate necessary and appropriate rules and regulations to adequately address the </w:t>
      </w:r>
      <w:r>
        <w:rPr>
          <w:sz w:val="24"/>
          <w:szCs w:val="24"/>
        </w:rPr>
        <w:t xml:space="preserve">associated </w:t>
      </w:r>
      <w:r w:rsidRPr="008C1C05">
        <w:rPr>
          <w:sz w:val="24"/>
          <w:szCs w:val="24"/>
        </w:rPr>
        <w:t>risks and demonstrate the ability to implement and enforce those regulations.  Engagement of all divisions within the department, and local agencies and officials in this matter, would go a long way toward building public confidence</w:t>
      </w:r>
      <w:r>
        <w:rPr>
          <w:sz w:val="24"/>
          <w:szCs w:val="24"/>
        </w:rPr>
        <w:t xml:space="preserve"> while </w:t>
      </w:r>
      <w:r w:rsidRPr="008C1C05">
        <w:rPr>
          <w:sz w:val="24"/>
          <w:szCs w:val="24"/>
        </w:rPr>
        <w:t xml:space="preserve">protecting our resources. </w:t>
      </w:r>
    </w:p>
    <w:p w:rsidR="00D4438F" w:rsidRPr="008C1C05" w:rsidRDefault="00D4438F" w:rsidP="00CA3B40">
      <w:pPr>
        <w:rPr>
          <w:sz w:val="24"/>
          <w:szCs w:val="24"/>
        </w:rPr>
      </w:pPr>
    </w:p>
    <w:p w:rsidR="00D4438F" w:rsidRDefault="00D4438F" w:rsidP="00CA3B40">
      <w:pPr>
        <w:rPr>
          <w:sz w:val="24"/>
          <w:szCs w:val="24"/>
        </w:rPr>
      </w:pPr>
      <w:r w:rsidRPr="008C1C05">
        <w:rPr>
          <w:sz w:val="24"/>
          <w:szCs w:val="24"/>
        </w:rPr>
        <w:t>The impact of hydraulic fracturing itself should include the impact of ancillary activities and associated appurtenances, not be separate and distinct from it.  The GEIS states in several instances that the impact of the hydraulic fracturing procedure is not reasonably anticipated, yet frequently documents the potential risks of associated activities such as stormwater controls, site management and surface/subsurface fluid containment practices, casing construction, fluid transfers, material defects, spills, releases and leakage. It is misleading to assert that 15 states testify that hydraulic fracturing is not causing groundwater contamination, when several of those states are dealing with numerous complaints and allegations regarding pollution from natural gas exploration activity that includes hydraulic fracturing.</w:t>
      </w:r>
    </w:p>
    <w:p w:rsidR="00D4438F" w:rsidRDefault="00D4438F" w:rsidP="00CA3B40">
      <w:pPr>
        <w:rPr>
          <w:sz w:val="24"/>
          <w:szCs w:val="24"/>
        </w:rPr>
      </w:pPr>
    </w:p>
    <w:p w:rsidR="00D4438F" w:rsidRPr="008C1C05" w:rsidRDefault="00D4438F" w:rsidP="00CA3B40">
      <w:pPr>
        <w:rPr>
          <w:sz w:val="24"/>
          <w:szCs w:val="24"/>
        </w:rPr>
      </w:pPr>
      <w:r>
        <w:rPr>
          <w:sz w:val="24"/>
          <w:szCs w:val="24"/>
        </w:rPr>
        <w:t xml:space="preserve">Pipelines should </w:t>
      </w:r>
      <w:r w:rsidRPr="0009629E">
        <w:rPr>
          <w:sz w:val="24"/>
          <w:szCs w:val="24"/>
          <w:u w:val="single"/>
        </w:rPr>
        <w:t>not</w:t>
      </w:r>
      <w:r>
        <w:rPr>
          <w:sz w:val="24"/>
          <w:szCs w:val="24"/>
        </w:rPr>
        <w:t xml:space="preserve"> be separate and distinct from the activities contemplated by this SGEIS</w:t>
      </w:r>
      <w:r w:rsidRPr="008C1C05">
        <w:rPr>
          <w:sz w:val="24"/>
          <w:szCs w:val="24"/>
        </w:rPr>
        <w:t>.</w:t>
      </w:r>
    </w:p>
    <w:p w:rsidR="00D4438F" w:rsidRPr="008C1C05" w:rsidRDefault="00D4438F">
      <w:pPr>
        <w:rPr>
          <w:sz w:val="24"/>
          <w:szCs w:val="24"/>
        </w:rPr>
      </w:pPr>
    </w:p>
    <w:p w:rsidR="00D4438F" w:rsidRPr="00241431" w:rsidRDefault="00D4438F" w:rsidP="00241431">
      <w:pPr>
        <w:rPr>
          <w:sz w:val="24"/>
          <w:szCs w:val="24"/>
          <w:u w:val="single"/>
        </w:rPr>
      </w:pPr>
      <w:r w:rsidRPr="00241431">
        <w:rPr>
          <w:sz w:val="24"/>
          <w:szCs w:val="24"/>
          <w:u w:val="single"/>
        </w:rPr>
        <w:t>Resource Concerns</w:t>
      </w:r>
    </w:p>
    <w:p w:rsidR="00D4438F" w:rsidRPr="008C1C05" w:rsidRDefault="00D4438F" w:rsidP="00241431">
      <w:pPr>
        <w:rPr>
          <w:sz w:val="24"/>
          <w:szCs w:val="24"/>
        </w:rPr>
      </w:pPr>
      <w:r w:rsidRPr="008C1C05">
        <w:rPr>
          <w:sz w:val="24"/>
          <w:szCs w:val="24"/>
        </w:rPr>
        <w:t xml:space="preserve">Setbacks from property boundaries are not addressed and should be observed for all activities.  The ECL provides for notification to surface owners prior to commencing operations and the GEIS provides for notification of town supervisors.  Given that adjacent landowners are served no notification, nor provided any opportunity to comment on location or activities, especially if they are unleased and </w:t>
      </w:r>
      <w:r>
        <w:rPr>
          <w:sz w:val="24"/>
          <w:szCs w:val="24"/>
        </w:rPr>
        <w:t xml:space="preserve">made part of a unit through </w:t>
      </w:r>
      <w:r w:rsidRPr="008C1C05">
        <w:rPr>
          <w:sz w:val="24"/>
          <w:szCs w:val="24"/>
        </w:rPr>
        <w:t>compulsory integrat</w:t>
      </w:r>
      <w:r>
        <w:rPr>
          <w:sz w:val="24"/>
          <w:szCs w:val="24"/>
        </w:rPr>
        <w:t>ation</w:t>
      </w:r>
      <w:r w:rsidRPr="008C1C05">
        <w:rPr>
          <w:sz w:val="24"/>
          <w:szCs w:val="24"/>
        </w:rPr>
        <w:t>, setbacks from property lines should be required to provide some buffer from the activity.</w:t>
      </w:r>
    </w:p>
    <w:p w:rsidR="00D4438F" w:rsidRPr="008C1C05" w:rsidRDefault="00D4438F" w:rsidP="002330B6">
      <w:pPr>
        <w:rPr>
          <w:sz w:val="24"/>
          <w:szCs w:val="24"/>
        </w:rPr>
      </w:pPr>
    </w:p>
    <w:p w:rsidR="00D4438F" w:rsidRPr="008C1C05" w:rsidRDefault="00D4438F" w:rsidP="008C1C05">
      <w:pPr>
        <w:rPr>
          <w:sz w:val="24"/>
          <w:szCs w:val="24"/>
        </w:rPr>
      </w:pPr>
      <w:r w:rsidRPr="008C1C05">
        <w:rPr>
          <w:sz w:val="24"/>
          <w:szCs w:val="24"/>
        </w:rPr>
        <w:t xml:space="preserve">The GEIS maintains that hydrofracing is not the concern, but rather </w:t>
      </w:r>
      <w:r>
        <w:rPr>
          <w:sz w:val="24"/>
          <w:szCs w:val="24"/>
        </w:rPr>
        <w:t xml:space="preserve">that </w:t>
      </w:r>
      <w:r w:rsidRPr="008C1C05">
        <w:rPr>
          <w:sz w:val="24"/>
          <w:szCs w:val="24"/>
        </w:rPr>
        <w:t>other associated activities present the risks.  All resources should be afforded the same setback/protection.  There should be an established setback where no activity is allowed, such as 250 feet from any well, spring, reservoir, river, wetland, etc. AND that setback should also be observed from structures, dwellings, and property lines.  It is unclear as to why some features require a greater or lesser threshold for proximity before additional environmental assessment is required.  A stream is no more vulnerable to an equipment accident/tip-over than a municipal well.  Nor is a wetland more vulnerable to a spill than a home.</w:t>
      </w:r>
    </w:p>
    <w:p w:rsidR="00D4438F" w:rsidRPr="008C1C05" w:rsidRDefault="00D4438F" w:rsidP="008C1C05">
      <w:pPr>
        <w:rPr>
          <w:sz w:val="24"/>
          <w:szCs w:val="24"/>
        </w:rPr>
      </w:pPr>
    </w:p>
    <w:p w:rsidR="00D4438F" w:rsidRDefault="00D4438F" w:rsidP="008C1C05">
      <w:pPr>
        <w:rPr>
          <w:sz w:val="24"/>
          <w:szCs w:val="24"/>
        </w:rPr>
      </w:pPr>
      <w:r w:rsidRPr="008C1C05">
        <w:rPr>
          <w:sz w:val="24"/>
          <w:szCs w:val="24"/>
        </w:rPr>
        <w:t xml:space="preserve">Sole source aquifers should be afforded the same protection and consideration as principle and primary aquifers. </w:t>
      </w:r>
    </w:p>
    <w:p w:rsidR="00D4438F" w:rsidRDefault="00D4438F" w:rsidP="008C1C05">
      <w:pPr>
        <w:rPr>
          <w:sz w:val="24"/>
          <w:szCs w:val="24"/>
        </w:rPr>
      </w:pPr>
    </w:p>
    <w:p w:rsidR="00D4438F" w:rsidRDefault="00D4438F" w:rsidP="008C1C05">
      <w:pPr>
        <w:rPr>
          <w:sz w:val="24"/>
          <w:szCs w:val="24"/>
        </w:rPr>
      </w:pPr>
      <w:r w:rsidRPr="008C1C05">
        <w:rPr>
          <w:sz w:val="24"/>
          <w:szCs w:val="24"/>
        </w:rPr>
        <w:t>Occupied structures or places of assembly should include all places of business, including agricultural facilities ie. barns, shops, etc.</w:t>
      </w:r>
      <w:r>
        <w:rPr>
          <w:sz w:val="24"/>
          <w:szCs w:val="24"/>
        </w:rPr>
        <w:t xml:space="preserve"> and associated outbuildings and infrastructure such as septic systems, etc.</w:t>
      </w:r>
    </w:p>
    <w:p w:rsidR="00D4438F" w:rsidRDefault="00D4438F" w:rsidP="008C1C05">
      <w:pPr>
        <w:rPr>
          <w:sz w:val="24"/>
          <w:szCs w:val="24"/>
        </w:rPr>
      </w:pPr>
    </w:p>
    <w:p w:rsidR="00D4438F" w:rsidRPr="008C1C05" w:rsidRDefault="00D4438F" w:rsidP="00241431">
      <w:pPr>
        <w:rPr>
          <w:sz w:val="24"/>
          <w:szCs w:val="24"/>
        </w:rPr>
      </w:pPr>
      <w:r w:rsidRPr="008C1C05">
        <w:rPr>
          <w:sz w:val="24"/>
          <w:szCs w:val="24"/>
        </w:rPr>
        <w:t>Topsoil should always be stockpiled, protected or stabilized and reserved on-site for reclamation.</w:t>
      </w:r>
    </w:p>
    <w:p w:rsidR="00D4438F" w:rsidRPr="008C1C05" w:rsidRDefault="00D4438F" w:rsidP="00241431">
      <w:pPr>
        <w:rPr>
          <w:sz w:val="24"/>
          <w:szCs w:val="24"/>
        </w:rPr>
      </w:pPr>
    </w:p>
    <w:p w:rsidR="00D4438F" w:rsidRPr="008C1C05" w:rsidRDefault="00D4438F" w:rsidP="00241431">
      <w:pPr>
        <w:rPr>
          <w:sz w:val="24"/>
          <w:szCs w:val="24"/>
        </w:rPr>
      </w:pPr>
      <w:r w:rsidRPr="008C1C05">
        <w:rPr>
          <w:sz w:val="24"/>
          <w:szCs w:val="24"/>
        </w:rPr>
        <w:t>Refracturing should also trigger well water quality testing.</w:t>
      </w:r>
    </w:p>
    <w:p w:rsidR="00D4438F" w:rsidRDefault="00D4438F" w:rsidP="00241431">
      <w:pPr>
        <w:rPr>
          <w:sz w:val="24"/>
          <w:szCs w:val="24"/>
        </w:rPr>
      </w:pPr>
    </w:p>
    <w:p w:rsidR="00D4438F" w:rsidRDefault="00D4438F" w:rsidP="00241431">
      <w:pPr>
        <w:rPr>
          <w:sz w:val="24"/>
          <w:szCs w:val="24"/>
        </w:rPr>
      </w:pPr>
      <w:r>
        <w:rPr>
          <w:sz w:val="24"/>
          <w:szCs w:val="24"/>
        </w:rPr>
        <w:t>All gas drilling and associated activities (</w:t>
      </w:r>
      <w:r w:rsidRPr="008C1C05">
        <w:rPr>
          <w:sz w:val="24"/>
          <w:szCs w:val="24"/>
        </w:rPr>
        <w:t>well pads, impoundments, pipelines, etc.</w:t>
      </w:r>
      <w:r>
        <w:rPr>
          <w:sz w:val="24"/>
          <w:szCs w:val="24"/>
        </w:rPr>
        <w:t>)</w:t>
      </w:r>
      <w:r w:rsidRPr="008C1C05">
        <w:rPr>
          <w:sz w:val="24"/>
          <w:szCs w:val="24"/>
        </w:rPr>
        <w:t xml:space="preserve"> should be required to follow Stormwater Construction General Permit requirements.  Coverage under the MSGP appears to allow partial reclamation, which is unacceptable.</w:t>
      </w:r>
    </w:p>
    <w:p w:rsidR="00D4438F" w:rsidRDefault="00D4438F" w:rsidP="00241431">
      <w:pPr>
        <w:rPr>
          <w:sz w:val="24"/>
          <w:szCs w:val="24"/>
        </w:rPr>
      </w:pPr>
    </w:p>
    <w:p w:rsidR="00D4438F" w:rsidRDefault="00D4438F" w:rsidP="00241431">
      <w:pPr>
        <w:rPr>
          <w:sz w:val="24"/>
          <w:szCs w:val="24"/>
        </w:rPr>
      </w:pPr>
      <w:r>
        <w:rPr>
          <w:sz w:val="24"/>
          <w:szCs w:val="24"/>
        </w:rPr>
        <w:t xml:space="preserve">All gas drilling and associated activities reviewed and approved as part of any permit issued by the Department should be in compliance with the OPRHP/SHPO </w:t>
      </w:r>
      <w:r w:rsidRPr="00122041">
        <w:rPr>
          <w:sz w:val="24"/>
          <w:szCs w:val="24"/>
        </w:rPr>
        <w:t>Environmental Review program</w:t>
      </w:r>
      <w:r>
        <w:rPr>
          <w:sz w:val="24"/>
          <w:szCs w:val="24"/>
        </w:rPr>
        <w:t>.</w:t>
      </w:r>
    </w:p>
    <w:p w:rsidR="00D4438F" w:rsidRDefault="00D4438F" w:rsidP="00241431">
      <w:pPr>
        <w:rPr>
          <w:sz w:val="24"/>
          <w:szCs w:val="24"/>
        </w:rPr>
      </w:pPr>
    </w:p>
    <w:p w:rsidR="00D4438F" w:rsidRPr="008C1C05" w:rsidRDefault="00D4438F" w:rsidP="00241431">
      <w:pPr>
        <w:rPr>
          <w:sz w:val="24"/>
          <w:szCs w:val="24"/>
        </w:rPr>
      </w:pPr>
      <w:r>
        <w:rPr>
          <w:sz w:val="24"/>
          <w:szCs w:val="24"/>
        </w:rPr>
        <w:t>All groundwater withdrawals should be evaluated for local and temporary, as well as sustained impacts on groundwater and aquifer supplies.</w:t>
      </w:r>
    </w:p>
    <w:p w:rsidR="00D4438F" w:rsidRPr="008C1C05" w:rsidRDefault="00D4438F">
      <w:pPr>
        <w:rPr>
          <w:sz w:val="24"/>
          <w:szCs w:val="24"/>
        </w:rPr>
      </w:pPr>
    </w:p>
    <w:p w:rsidR="00D4438F" w:rsidRPr="00241431" w:rsidRDefault="00D4438F">
      <w:pPr>
        <w:rPr>
          <w:sz w:val="24"/>
          <w:szCs w:val="24"/>
          <w:u w:val="single"/>
        </w:rPr>
      </w:pPr>
      <w:r w:rsidRPr="00241431">
        <w:rPr>
          <w:sz w:val="24"/>
          <w:szCs w:val="24"/>
          <w:u w:val="single"/>
        </w:rPr>
        <w:t>Tanks/On-Site Storage</w:t>
      </w:r>
    </w:p>
    <w:p w:rsidR="00D4438F" w:rsidRPr="008C1C05" w:rsidRDefault="00D4438F">
      <w:pPr>
        <w:rPr>
          <w:sz w:val="24"/>
          <w:szCs w:val="24"/>
        </w:rPr>
      </w:pPr>
      <w:r w:rsidRPr="008C1C05">
        <w:rPr>
          <w:sz w:val="24"/>
          <w:szCs w:val="24"/>
        </w:rPr>
        <w:t>Secondary containment should be required for all tanks regardless of their size and/or the nature of their use (ie. perman</w:t>
      </w:r>
      <w:r>
        <w:rPr>
          <w:sz w:val="24"/>
          <w:szCs w:val="24"/>
        </w:rPr>
        <w:t xml:space="preserve">ent/temporary/non-stationary).  </w:t>
      </w:r>
      <w:r w:rsidRPr="008C1C05">
        <w:rPr>
          <w:sz w:val="24"/>
          <w:szCs w:val="24"/>
        </w:rPr>
        <w:t xml:space="preserve">Tanks should also be subject to Chemical and Petroleum Bulk Storage Regulations, and in addition, be subject to additional precautionary requirements </w:t>
      </w:r>
      <w:r>
        <w:rPr>
          <w:sz w:val="24"/>
          <w:szCs w:val="24"/>
        </w:rPr>
        <w:t xml:space="preserve">or setbacks </w:t>
      </w:r>
      <w:r w:rsidRPr="008C1C05">
        <w:rPr>
          <w:sz w:val="24"/>
          <w:szCs w:val="24"/>
        </w:rPr>
        <w:t xml:space="preserve">based on size and proximity to water supplies, etc. </w:t>
      </w:r>
    </w:p>
    <w:p w:rsidR="00D4438F" w:rsidRPr="008C1C05" w:rsidRDefault="00D4438F">
      <w:pPr>
        <w:rPr>
          <w:sz w:val="24"/>
          <w:szCs w:val="24"/>
        </w:rPr>
      </w:pPr>
    </w:p>
    <w:p w:rsidR="00D4438F" w:rsidRDefault="00D4438F" w:rsidP="00285361">
      <w:pPr>
        <w:rPr>
          <w:sz w:val="24"/>
          <w:szCs w:val="24"/>
        </w:rPr>
      </w:pPr>
      <w:r w:rsidRPr="008C1C05">
        <w:rPr>
          <w:sz w:val="24"/>
          <w:szCs w:val="24"/>
        </w:rPr>
        <w:t>Information regarding all tanks, their contents, and spill response plans for them should be provided to County Health and Emergency Management, regardless of their size and/or the nature of their use (ie. permanent/temporary/non-stationary).</w:t>
      </w:r>
      <w:r>
        <w:rPr>
          <w:sz w:val="24"/>
          <w:szCs w:val="24"/>
        </w:rPr>
        <w:t xml:space="preserve">  </w:t>
      </w:r>
      <w:r w:rsidRPr="008C1C05">
        <w:rPr>
          <w:sz w:val="24"/>
          <w:szCs w:val="24"/>
        </w:rPr>
        <w:t xml:space="preserve">The Department should also require that all installed gathering lines be located by GPS and </w:t>
      </w:r>
      <w:r>
        <w:rPr>
          <w:sz w:val="24"/>
          <w:szCs w:val="24"/>
        </w:rPr>
        <w:t xml:space="preserve">that information </w:t>
      </w:r>
      <w:r w:rsidRPr="008C1C05">
        <w:rPr>
          <w:sz w:val="24"/>
          <w:szCs w:val="24"/>
        </w:rPr>
        <w:t>provide</w:t>
      </w:r>
      <w:r>
        <w:rPr>
          <w:sz w:val="24"/>
          <w:szCs w:val="24"/>
        </w:rPr>
        <w:t>d</w:t>
      </w:r>
      <w:r w:rsidRPr="008C1C05">
        <w:rPr>
          <w:sz w:val="24"/>
          <w:szCs w:val="24"/>
        </w:rPr>
        <w:t xml:space="preserve"> to local municipalities, County Health and Emergency Management </w:t>
      </w:r>
      <w:r>
        <w:rPr>
          <w:sz w:val="24"/>
          <w:szCs w:val="24"/>
        </w:rPr>
        <w:t>agencies for safety, emergency response</w:t>
      </w:r>
      <w:r w:rsidRPr="008C1C05">
        <w:rPr>
          <w:sz w:val="24"/>
          <w:szCs w:val="24"/>
        </w:rPr>
        <w:t xml:space="preserve"> and mapping purposes</w:t>
      </w:r>
      <w:r>
        <w:rPr>
          <w:sz w:val="24"/>
          <w:szCs w:val="24"/>
        </w:rPr>
        <w:t>.</w:t>
      </w:r>
    </w:p>
    <w:p w:rsidR="00D4438F" w:rsidRDefault="00D4438F" w:rsidP="00285361">
      <w:pPr>
        <w:rPr>
          <w:sz w:val="24"/>
          <w:szCs w:val="24"/>
        </w:rPr>
      </w:pPr>
    </w:p>
    <w:p w:rsidR="00D4438F" w:rsidRDefault="00D4438F" w:rsidP="00241431">
      <w:pPr>
        <w:rPr>
          <w:sz w:val="24"/>
          <w:szCs w:val="24"/>
        </w:rPr>
      </w:pPr>
      <w:r w:rsidRPr="008C1C05">
        <w:rPr>
          <w:sz w:val="24"/>
          <w:szCs w:val="24"/>
        </w:rPr>
        <w:t>Applicant should be required to submit fluid disposal plans with the application including proof of agreement/location to accept waste, as well as plans for disposal of other wastes according to all applicable Department regulations.  This step would avoid potential problems or pitfalls relating to timely and appropriate disposal.</w:t>
      </w:r>
    </w:p>
    <w:p w:rsidR="00D4438F" w:rsidRPr="008C1C05" w:rsidRDefault="00D4438F" w:rsidP="00241431">
      <w:pPr>
        <w:rPr>
          <w:sz w:val="24"/>
          <w:szCs w:val="24"/>
        </w:rPr>
      </w:pPr>
    </w:p>
    <w:p w:rsidR="00D4438F" w:rsidRDefault="00D4438F" w:rsidP="00241431">
      <w:pPr>
        <w:rPr>
          <w:sz w:val="24"/>
          <w:szCs w:val="24"/>
        </w:rPr>
      </w:pPr>
      <w:r w:rsidRPr="008C1C05">
        <w:rPr>
          <w:sz w:val="24"/>
          <w:szCs w:val="24"/>
        </w:rPr>
        <w:t>The GEIS states that the use of steel tanks for flowback water is required.  On-site storage of flowback in surface impoundments is also contemplated in the GEIS with size</w:t>
      </w:r>
      <w:r>
        <w:rPr>
          <w:sz w:val="24"/>
          <w:szCs w:val="24"/>
        </w:rPr>
        <w:t>s of up to 5 acres suggested.  In t</w:t>
      </w:r>
      <w:r w:rsidRPr="008C1C05">
        <w:rPr>
          <w:sz w:val="24"/>
          <w:szCs w:val="24"/>
        </w:rPr>
        <w:t>he Proposed Supplementary Permit Conditions</w:t>
      </w:r>
      <w:r>
        <w:rPr>
          <w:sz w:val="24"/>
          <w:szCs w:val="24"/>
        </w:rPr>
        <w:t>,</w:t>
      </w:r>
      <w:r w:rsidRPr="008C1C05">
        <w:rPr>
          <w:sz w:val="24"/>
          <w:szCs w:val="24"/>
        </w:rPr>
        <w:t xml:space="preserve"> item </w:t>
      </w:r>
      <w:r>
        <w:rPr>
          <w:sz w:val="24"/>
          <w:szCs w:val="24"/>
        </w:rPr>
        <w:t xml:space="preserve">number </w:t>
      </w:r>
      <w:r w:rsidRPr="008C1C05">
        <w:rPr>
          <w:sz w:val="24"/>
          <w:szCs w:val="24"/>
        </w:rPr>
        <w:t>36) discusses their use pursuant to a fluid disposal plan.  Centralized flowback water surface impoundments present a significant risk.  This flowback contains concentrations of chemical constituents exceeding water quality standards.  It appears their use is acceptable, except over principle and primary aquifers, and as long as Part 360 and dam safety requirements are met.  Clarification should be provided as to when their use is deemed acceptable and under what conditions.</w:t>
      </w:r>
      <w:r w:rsidRPr="00241431">
        <w:rPr>
          <w:sz w:val="24"/>
          <w:szCs w:val="24"/>
        </w:rPr>
        <w:t xml:space="preserve"> </w:t>
      </w:r>
    </w:p>
    <w:p w:rsidR="00D4438F" w:rsidRDefault="00D4438F" w:rsidP="00241431">
      <w:pPr>
        <w:rPr>
          <w:sz w:val="24"/>
          <w:szCs w:val="24"/>
        </w:rPr>
      </w:pPr>
    </w:p>
    <w:p w:rsidR="00D4438F" w:rsidRPr="008C1C05" w:rsidRDefault="00D4438F" w:rsidP="00241431">
      <w:pPr>
        <w:rPr>
          <w:sz w:val="24"/>
          <w:szCs w:val="24"/>
        </w:rPr>
      </w:pPr>
      <w:r>
        <w:rPr>
          <w:sz w:val="24"/>
          <w:szCs w:val="24"/>
        </w:rPr>
        <w:t>GWPC recommended</w:t>
      </w:r>
      <w:r w:rsidRPr="008C1C05">
        <w:rPr>
          <w:sz w:val="24"/>
          <w:szCs w:val="24"/>
        </w:rPr>
        <w:t xml:space="preserve"> 20” separation between </w:t>
      </w:r>
      <w:r>
        <w:rPr>
          <w:sz w:val="24"/>
          <w:szCs w:val="24"/>
        </w:rPr>
        <w:t>impoundment or “</w:t>
      </w:r>
      <w:r w:rsidRPr="008C1C05">
        <w:rPr>
          <w:sz w:val="24"/>
          <w:szCs w:val="24"/>
        </w:rPr>
        <w:t>pit</w:t>
      </w:r>
      <w:r>
        <w:rPr>
          <w:sz w:val="24"/>
          <w:szCs w:val="24"/>
        </w:rPr>
        <w:t>”</w:t>
      </w:r>
      <w:r w:rsidRPr="008C1C05">
        <w:rPr>
          <w:sz w:val="24"/>
          <w:szCs w:val="24"/>
        </w:rPr>
        <w:t xml:space="preserve"> bottom and seasonal high water table, but Alpha rec</w:t>
      </w:r>
      <w:r>
        <w:rPr>
          <w:sz w:val="24"/>
          <w:szCs w:val="24"/>
        </w:rPr>
        <w:t>ommended</w:t>
      </w:r>
      <w:r w:rsidRPr="008C1C05">
        <w:rPr>
          <w:sz w:val="24"/>
          <w:szCs w:val="24"/>
        </w:rPr>
        <w:t xml:space="preserve"> a case-by-case determination?</w:t>
      </w:r>
      <w:r>
        <w:rPr>
          <w:sz w:val="24"/>
          <w:szCs w:val="24"/>
        </w:rPr>
        <w:t xml:space="preserve">  What was the decision?</w:t>
      </w:r>
    </w:p>
    <w:p w:rsidR="00D4438F" w:rsidRPr="008C1C05" w:rsidRDefault="00D4438F" w:rsidP="00241431">
      <w:pPr>
        <w:rPr>
          <w:sz w:val="24"/>
          <w:szCs w:val="24"/>
        </w:rPr>
      </w:pPr>
    </w:p>
    <w:p w:rsidR="00D4438F" w:rsidRPr="008C1C05" w:rsidRDefault="00D4438F" w:rsidP="00241431">
      <w:pPr>
        <w:rPr>
          <w:sz w:val="24"/>
          <w:szCs w:val="24"/>
        </w:rPr>
      </w:pPr>
      <w:r>
        <w:rPr>
          <w:sz w:val="24"/>
          <w:szCs w:val="24"/>
        </w:rPr>
        <w:t>The landowner should not be considered the “owner”</w:t>
      </w:r>
      <w:r w:rsidRPr="008C1C05">
        <w:rPr>
          <w:sz w:val="24"/>
          <w:szCs w:val="24"/>
        </w:rPr>
        <w:t xml:space="preserve"> </w:t>
      </w:r>
      <w:r>
        <w:rPr>
          <w:sz w:val="24"/>
          <w:szCs w:val="24"/>
        </w:rPr>
        <w:t xml:space="preserve">of any </w:t>
      </w:r>
      <w:r w:rsidRPr="008C1C05">
        <w:rPr>
          <w:sz w:val="24"/>
          <w:szCs w:val="24"/>
        </w:rPr>
        <w:t xml:space="preserve">impoundments of fresh water and/or flowback water </w:t>
      </w:r>
      <w:r>
        <w:rPr>
          <w:sz w:val="24"/>
          <w:szCs w:val="24"/>
        </w:rPr>
        <w:t>or</w:t>
      </w:r>
      <w:r w:rsidRPr="008C1C05">
        <w:rPr>
          <w:sz w:val="24"/>
          <w:szCs w:val="24"/>
        </w:rPr>
        <w:t xml:space="preserve"> other stored fluids</w:t>
      </w:r>
      <w:r>
        <w:rPr>
          <w:sz w:val="24"/>
          <w:szCs w:val="24"/>
        </w:rPr>
        <w:t>, nor should they be held liable or responsible for any operations occurring on-site, rather the operator should be the responsible party.</w:t>
      </w:r>
      <w:r w:rsidRPr="008C1C05">
        <w:rPr>
          <w:sz w:val="24"/>
          <w:szCs w:val="24"/>
        </w:rPr>
        <w:t xml:space="preserve"> </w:t>
      </w:r>
    </w:p>
    <w:p w:rsidR="00D4438F" w:rsidRPr="008C1C05" w:rsidRDefault="00D4438F" w:rsidP="00241431">
      <w:pPr>
        <w:rPr>
          <w:sz w:val="24"/>
          <w:szCs w:val="24"/>
        </w:rPr>
      </w:pPr>
    </w:p>
    <w:p w:rsidR="00D4438F" w:rsidRPr="008C1C05" w:rsidRDefault="00D4438F" w:rsidP="00241431">
      <w:pPr>
        <w:rPr>
          <w:sz w:val="24"/>
          <w:szCs w:val="24"/>
        </w:rPr>
      </w:pPr>
      <w:r w:rsidRPr="008C1C05">
        <w:rPr>
          <w:sz w:val="24"/>
          <w:szCs w:val="24"/>
        </w:rPr>
        <w:t>A licensed professional engineer should be licensed in New York to perform work required in this permit.</w:t>
      </w:r>
    </w:p>
    <w:p w:rsidR="00D4438F" w:rsidRPr="008C1C05" w:rsidRDefault="00D4438F">
      <w:pPr>
        <w:rPr>
          <w:sz w:val="24"/>
          <w:szCs w:val="24"/>
        </w:rPr>
      </w:pPr>
    </w:p>
    <w:p w:rsidR="00D4438F" w:rsidRPr="00241431" w:rsidRDefault="00D4438F">
      <w:pPr>
        <w:rPr>
          <w:sz w:val="24"/>
          <w:szCs w:val="24"/>
          <w:u w:val="single"/>
        </w:rPr>
      </w:pPr>
      <w:r>
        <w:rPr>
          <w:sz w:val="24"/>
          <w:szCs w:val="24"/>
          <w:u w:val="single"/>
        </w:rPr>
        <w:t xml:space="preserve">Review, </w:t>
      </w:r>
      <w:r w:rsidRPr="00241431">
        <w:rPr>
          <w:sz w:val="24"/>
          <w:szCs w:val="24"/>
          <w:u w:val="single"/>
        </w:rPr>
        <w:t>Oversight</w:t>
      </w:r>
      <w:r>
        <w:rPr>
          <w:sz w:val="24"/>
          <w:szCs w:val="24"/>
          <w:u w:val="single"/>
        </w:rPr>
        <w:t xml:space="preserve"> and References</w:t>
      </w:r>
    </w:p>
    <w:p w:rsidR="00D4438F" w:rsidRPr="008C1C05" w:rsidRDefault="00D4438F">
      <w:pPr>
        <w:rPr>
          <w:sz w:val="24"/>
          <w:szCs w:val="24"/>
        </w:rPr>
      </w:pPr>
      <w:r w:rsidRPr="008C1C05">
        <w:rPr>
          <w:sz w:val="24"/>
          <w:szCs w:val="24"/>
        </w:rPr>
        <w:t xml:space="preserve">Soil and Water Conservation Districts </w:t>
      </w:r>
      <w:r>
        <w:rPr>
          <w:sz w:val="24"/>
          <w:szCs w:val="24"/>
        </w:rPr>
        <w:t xml:space="preserve">(SWCDs) </w:t>
      </w:r>
      <w:r w:rsidRPr="008C1C05">
        <w:rPr>
          <w:sz w:val="24"/>
          <w:szCs w:val="24"/>
        </w:rPr>
        <w:t>should be included in the application review process to provide information on local resources and resource concerns, especially when the Department is making a site specific determination of significance.  SWCDs can also provide information on issues such as reclamation plans, pipelines, conformance/consultation with local landuse plans, etc. and should be identified as a resource for applicants and the Department.</w:t>
      </w:r>
    </w:p>
    <w:p w:rsidR="00D4438F" w:rsidRPr="008C1C05" w:rsidRDefault="00D4438F">
      <w:pPr>
        <w:rPr>
          <w:sz w:val="24"/>
          <w:szCs w:val="24"/>
        </w:rPr>
      </w:pPr>
    </w:p>
    <w:p w:rsidR="00D4438F" w:rsidRPr="008C1C05" w:rsidRDefault="00D4438F" w:rsidP="00241431">
      <w:pPr>
        <w:rPr>
          <w:sz w:val="24"/>
          <w:szCs w:val="24"/>
        </w:rPr>
      </w:pPr>
      <w:r w:rsidRPr="008C1C05">
        <w:rPr>
          <w:sz w:val="24"/>
          <w:szCs w:val="24"/>
        </w:rPr>
        <w:t xml:space="preserve">New FIRM maps were released for Cortland County and will be effective </w:t>
      </w:r>
      <w:r>
        <w:rPr>
          <w:sz w:val="24"/>
          <w:szCs w:val="24"/>
        </w:rPr>
        <w:t xml:space="preserve">in </w:t>
      </w:r>
      <w:r w:rsidRPr="008C1C05">
        <w:rPr>
          <w:sz w:val="24"/>
          <w:szCs w:val="24"/>
        </w:rPr>
        <w:t>March 2010.  Reference should be made to “most recent” mapping and verification/proof of location should be provided with the application rather than a simple affirmation.</w:t>
      </w:r>
    </w:p>
    <w:p w:rsidR="00D4438F" w:rsidRPr="008C1C05" w:rsidRDefault="00D4438F" w:rsidP="00241431">
      <w:pPr>
        <w:rPr>
          <w:sz w:val="24"/>
          <w:szCs w:val="24"/>
        </w:rPr>
      </w:pPr>
    </w:p>
    <w:p w:rsidR="00D4438F" w:rsidRDefault="00D4438F" w:rsidP="00241431">
      <w:pPr>
        <w:rPr>
          <w:sz w:val="24"/>
          <w:szCs w:val="24"/>
        </w:rPr>
      </w:pPr>
      <w:r>
        <w:rPr>
          <w:sz w:val="24"/>
          <w:szCs w:val="24"/>
        </w:rPr>
        <w:t>PSC oversight</w:t>
      </w:r>
      <w:r w:rsidRPr="008C1C05">
        <w:rPr>
          <w:sz w:val="24"/>
          <w:szCs w:val="24"/>
        </w:rPr>
        <w:t xml:space="preserve"> of pipelines is not sufficient to protect against local resource impacts.</w:t>
      </w:r>
    </w:p>
    <w:p w:rsidR="00D4438F" w:rsidRDefault="00D4438F" w:rsidP="00241431">
      <w:pPr>
        <w:rPr>
          <w:sz w:val="24"/>
          <w:szCs w:val="24"/>
        </w:rPr>
      </w:pPr>
    </w:p>
    <w:p w:rsidR="00D4438F" w:rsidRPr="008C1C05" w:rsidRDefault="00D4438F" w:rsidP="00241431">
      <w:pPr>
        <w:rPr>
          <w:sz w:val="24"/>
          <w:szCs w:val="24"/>
        </w:rPr>
      </w:pPr>
      <w:r w:rsidRPr="008C1C05">
        <w:rPr>
          <w:sz w:val="24"/>
          <w:szCs w:val="24"/>
        </w:rPr>
        <w:t>The Department should require that all gathering lines regardless of size and or length be installed to PSC and NYS Department of Agriculture and Markets guidelines within non ag and ag areas respectively.  Currently there are no siting requirements for these lines and as a result issues of installation and future exposure are concerns</w:t>
      </w:r>
      <w:r>
        <w:rPr>
          <w:sz w:val="24"/>
          <w:szCs w:val="24"/>
        </w:rPr>
        <w:t>.</w:t>
      </w:r>
    </w:p>
    <w:p w:rsidR="00D4438F" w:rsidRDefault="00D4438F" w:rsidP="00241431">
      <w:pPr>
        <w:rPr>
          <w:sz w:val="24"/>
          <w:szCs w:val="24"/>
        </w:rPr>
      </w:pPr>
    </w:p>
    <w:p w:rsidR="00D4438F" w:rsidRPr="008C1C05" w:rsidRDefault="00D4438F" w:rsidP="00241431">
      <w:pPr>
        <w:rPr>
          <w:sz w:val="24"/>
          <w:szCs w:val="24"/>
        </w:rPr>
      </w:pPr>
      <w:r w:rsidRPr="008C1C05">
        <w:rPr>
          <w:sz w:val="24"/>
          <w:szCs w:val="24"/>
        </w:rPr>
        <w:t xml:space="preserve">Permit applications should undergo a coordinated review with all Divisions of the Department </w:t>
      </w:r>
      <w:r w:rsidRPr="008C1C05">
        <w:rPr>
          <w:sz w:val="24"/>
          <w:szCs w:val="24"/>
          <w:u w:val="single"/>
        </w:rPr>
        <w:t>and</w:t>
      </w:r>
      <w:r w:rsidRPr="008C1C05">
        <w:rPr>
          <w:sz w:val="24"/>
          <w:szCs w:val="24"/>
        </w:rPr>
        <w:t xml:space="preserve"> other local government agencies, not just be reviewed based on regulated activity or impact as proposed in Table 8.1.</w:t>
      </w:r>
    </w:p>
    <w:p w:rsidR="00D4438F" w:rsidRPr="008C1C05" w:rsidRDefault="00D4438F" w:rsidP="00241431">
      <w:pPr>
        <w:rPr>
          <w:sz w:val="24"/>
          <w:szCs w:val="24"/>
        </w:rPr>
      </w:pPr>
    </w:p>
    <w:p w:rsidR="00D4438F" w:rsidRPr="008C1C05" w:rsidRDefault="00D4438F">
      <w:pPr>
        <w:rPr>
          <w:sz w:val="24"/>
          <w:szCs w:val="24"/>
        </w:rPr>
      </w:pPr>
      <w:r w:rsidRPr="008C1C05">
        <w:rPr>
          <w:sz w:val="24"/>
          <w:szCs w:val="24"/>
        </w:rPr>
        <w:t>There should be minimum basis or reference for streams and natural resources, such as the NYSDEC Environmental Resource Mapper, while maintaining expectation</w:t>
      </w:r>
      <w:r>
        <w:rPr>
          <w:sz w:val="24"/>
          <w:szCs w:val="24"/>
        </w:rPr>
        <w:t>s</w:t>
      </w:r>
      <w:r w:rsidRPr="008C1C05">
        <w:rPr>
          <w:sz w:val="24"/>
          <w:szCs w:val="24"/>
        </w:rPr>
        <w:t xml:space="preserve"> of due diligence to “ground truth” references and identify </w:t>
      </w:r>
      <w:r>
        <w:rPr>
          <w:sz w:val="24"/>
          <w:szCs w:val="24"/>
        </w:rPr>
        <w:t xml:space="preserve">other local or </w:t>
      </w:r>
      <w:r w:rsidRPr="008C1C05">
        <w:rPr>
          <w:sz w:val="24"/>
          <w:szCs w:val="24"/>
        </w:rPr>
        <w:t>unmapped resources.</w:t>
      </w:r>
    </w:p>
    <w:p w:rsidR="00D4438F" w:rsidRDefault="00D4438F" w:rsidP="00241431">
      <w:pPr>
        <w:rPr>
          <w:sz w:val="24"/>
          <w:szCs w:val="24"/>
        </w:rPr>
      </w:pPr>
    </w:p>
    <w:p w:rsidR="00D4438F" w:rsidRPr="008C1C05" w:rsidRDefault="00D4438F" w:rsidP="00241431">
      <w:pPr>
        <w:rPr>
          <w:sz w:val="24"/>
          <w:szCs w:val="24"/>
        </w:rPr>
      </w:pPr>
      <w:r w:rsidRPr="008C1C05">
        <w:rPr>
          <w:sz w:val="24"/>
          <w:szCs w:val="24"/>
        </w:rPr>
        <w:t xml:space="preserve">Applications involving agricultural land should be reviewed by the </w:t>
      </w:r>
      <w:r>
        <w:rPr>
          <w:sz w:val="24"/>
          <w:szCs w:val="24"/>
        </w:rPr>
        <w:t xml:space="preserve">NYS </w:t>
      </w:r>
      <w:r w:rsidRPr="008C1C05">
        <w:rPr>
          <w:sz w:val="24"/>
          <w:szCs w:val="24"/>
        </w:rPr>
        <w:t xml:space="preserve">Department of Agriculture and Markets and the county SWCD for appropriate mitigation.  Reclamation plans, especially for large impoundment areas, but including all </w:t>
      </w:r>
      <w:r>
        <w:rPr>
          <w:sz w:val="24"/>
          <w:szCs w:val="24"/>
        </w:rPr>
        <w:t xml:space="preserve">surface and soil </w:t>
      </w:r>
      <w:r w:rsidRPr="008C1C05">
        <w:rPr>
          <w:sz w:val="24"/>
          <w:szCs w:val="24"/>
        </w:rPr>
        <w:t xml:space="preserve">disturbance on agricultural land, should be reviewed by the </w:t>
      </w:r>
      <w:r>
        <w:rPr>
          <w:sz w:val="24"/>
          <w:szCs w:val="24"/>
        </w:rPr>
        <w:t xml:space="preserve">NYS </w:t>
      </w:r>
      <w:r w:rsidRPr="008C1C05">
        <w:rPr>
          <w:sz w:val="24"/>
          <w:szCs w:val="24"/>
        </w:rPr>
        <w:t>Department of Agriculture and Markets and the county SWCD.</w:t>
      </w:r>
    </w:p>
    <w:p w:rsidR="00D4438F" w:rsidRDefault="00D4438F" w:rsidP="00241431">
      <w:pPr>
        <w:rPr>
          <w:sz w:val="24"/>
          <w:szCs w:val="24"/>
        </w:rPr>
      </w:pPr>
    </w:p>
    <w:p w:rsidR="00D4438F" w:rsidRPr="008C1C05" w:rsidRDefault="00D4438F">
      <w:pPr>
        <w:rPr>
          <w:sz w:val="24"/>
          <w:szCs w:val="24"/>
        </w:rPr>
      </w:pPr>
      <w:r>
        <w:rPr>
          <w:sz w:val="24"/>
          <w:szCs w:val="24"/>
          <w:u w:val="single"/>
        </w:rPr>
        <w:t>General</w:t>
      </w:r>
    </w:p>
    <w:p w:rsidR="00D4438F" w:rsidRPr="008C1C05" w:rsidRDefault="00D4438F" w:rsidP="00285361">
      <w:pPr>
        <w:rPr>
          <w:sz w:val="24"/>
          <w:szCs w:val="24"/>
        </w:rPr>
      </w:pPr>
      <w:r w:rsidRPr="008C1C05">
        <w:rPr>
          <w:sz w:val="24"/>
          <w:szCs w:val="24"/>
        </w:rPr>
        <w:t>“Significant” is a term used without explanation as to how it is defined or established</w:t>
      </w:r>
      <w:r>
        <w:rPr>
          <w:sz w:val="24"/>
          <w:szCs w:val="24"/>
        </w:rPr>
        <w:t>.</w:t>
      </w:r>
      <w:r w:rsidRPr="008C1C05">
        <w:rPr>
          <w:sz w:val="24"/>
          <w:szCs w:val="24"/>
        </w:rPr>
        <w:t xml:space="preserve">  Subjective terms and phrases such as “as far as practical” should be avoided.</w:t>
      </w:r>
    </w:p>
    <w:p w:rsidR="00D4438F" w:rsidRPr="008C1C05" w:rsidRDefault="00D4438F" w:rsidP="00285361">
      <w:pPr>
        <w:rPr>
          <w:sz w:val="24"/>
          <w:szCs w:val="24"/>
        </w:rPr>
      </w:pPr>
    </w:p>
    <w:p w:rsidR="00D4438F" w:rsidRPr="008C1C05" w:rsidRDefault="00D4438F">
      <w:pPr>
        <w:rPr>
          <w:sz w:val="24"/>
          <w:szCs w:val="24"/>
        </w:rPr>
      </w:pPr>
      <w:r w:rsidRPr="008C1C05">
        <w:rPr>
          <w:sz w:val="24"/>
          <w:szCs w:val="24"/>
        </w:rPr>
        <w:t>The same courtesy offered to work with NYC and NYSDOH on ensuring that FAD requirements are fulfilled and not compromised by gas drilling activity should be afforded to the City of Syracuse and the Skaneateles Lake Watershed.</w:t>
      </w:r>
    </w:p>
    <w:p w:rsidR="00D4438F" w:rsidRPr="008C1C05" w:rsidRDefault="00D4438F">
      <w:pPr>
        <w:rPr>
          <w:sz w:val="24"/>
          <w:szCs w:val="24"/>
        </w:rPr>
      </w:pPr>
    </w:p>
    <w:p w:rsidR="00D4438F" w:rsidRPr="008C1C05" w:rsidRDefault="00D4438F">
      <w:pPr>
        <w:rPr>
          <w:sz w:val="24"/>
          <w:szCs w:val="24"/>
        </w:rPr>
      </w:pPr>
      <w:r w:rsidRPr="008C1C05">
        <w:rPr>
          <w:sz w:val="24"/>
          <w:szCs w:val="24"/>
        </w:rPr>
        <w:t>Errors make the document difficult to follow.  Section 7.1.5 refers to Section 6.15?</w:t>
      </w:r>
    </w:p>
    <w:p w:rsidR="00D4438F" w:rsidRPr="008C1C05" w:rsidRDefault="00D4438F">
      <w:pPr>
        <w:rPr>
          <w:sz w:val="24"/>
          <w:szCs w:val="24"/>
        </w:rPr>
      </w:pPr>
    </w:p>
    <w:p w:rsidR="00D4438F" w:rsidRDefault="00D4438F" w:rsidP="00AB08E7">
      <w:pPr>
        <w:rPr>
          <w:sz w:val="24"/>
          <w:szCs w:val="24"/>
        </w:rPr>
      </w:pPr>
      <w:r w:rsidRPr="008C1C05">
        <w:rPr>
          <w:sz w:val="24"/>
          <w:szCs w:val="24"/>
        </w:rPr>
        <w:t xml:space="preserve">Penalties/consequences and responsibility for violations, clean-up and remediation were not made clear in the document.  Gas companies should be responsible for all mitigation and cleanup costs associated with well contamination </w:t>
      </w:r>
      <w:r>
        <w:rPr>
          <w:sz w:val="24"/>
          <w:szCs w:val="24"/>
        </w:rPr>
        <w:t xml:space="preserve">and other environmental pollution/degradation </w:t>
      </w:r>
      <w:r w:rsidRPr="008C1C05">
        <w:rPr>
          <w:sz w:val="24"/>
          <w:szCs w:val="24"/>
        </w:rPr>
        <w:t>and</w:t>
      </w:r>
      <w:r>
        <w:rPr>
          <w:sz w:val="24"/>
          <w:szCs w:val="24"/>
        </w:rPr>
        <w:t>, in addition all</w:t>
      </w:r>
      <w:r w:rsidRPr="008C1C05">
        <w:rPr>
          <w:sz w:val="24"/>
          <w:szCs w:val="24"/>
        </w:rPr>
        <w:t xml:space="preserve"> costs associated with state and local oversight.</w:t>
      </w:r>
    </w:p>
    <w:p w:rsidR="00D4438F" w:rsidRDefault="00D4438F" w:rsidP="00AB08E7">
      <w:pPr>
        <w:rPr>
          <w:sz w:val="24"/>
          <w:szCs w:val="24"/>
        </w:rPr>
      </w:pPr>
    </w:p>
    <w:p w:rsidR="00D4438F" w:rsidRDefault="00D4438F" w:rsidP="00AB08E7">
      <w:pPr>
        <w:rPr>
          <w:sz w:val="24"/>
          <w:szCs w:val="24"/>
        </w:rPr>
      </w:pPr>
      <w:r>
        <w:rPr>
          <w:sz w:val="24"/>
          <w:szCs w:val="24"/>
        </w:rPr>
        <w:t>Thank you for your consideration of our concerns.</w:t>
      </w:r>
    </w:p>
    <w:p w:rsidR="00D4438F" w:rsidRDefault="00D4438F" w:rsidP="00AB08E7">
      <w:pPr>
        <w:rPr>
          <w:sz w:val="24"/>
          <w:szCs w:val="24"/>
        </w:rPr>
      </w:pPr>
    </w:p>
    <w:p w:rsidR="00D4438F" w:rsidRDefault="00D4438F" w:rsidP="00AB08E7">
      <w:pPr>
        <w:rPr>
          <w:sz w:val="24"/>
          <w:szCs w:val="24"/>
        </w:rPr>
      </w:pPr>
      <w:r>
        <w:rPr>
          <w:sz w:val="24"/>
          <w:szCs w:val="24"/>
        </w:rPr>
        <w:t>Sincerely,</w:t>
      </w:r>
    </w:p>
    <w:p w:rsidR="00D4438F" w:rsidRDefault="00D4438F" w:rsidP="00AB08E7">
      <w:pPr>
        <w:rPr>
          <w:sz w:val="24"/>
          <w:szCs w:val="24"/>
        </w:rPr>
      </w:pPr>
    </w:p>
    <w:p w:rsidR="00D4438F" w:rsidRDefault="00D4438F" w:rsidP="00AB08E7">
      <w:pPr>
        <w:rPr>
          <w:sz w:val="24"/>
          <w:szCs w:val="24"/>
        </w:rPr>
      </w:pPr>
    </w:p>
    <w:p w:rsidR="00D4438F" w:rsidRDefault="00D4438F" w:rsidP="00AB08E7">
      <w:pPr>
        <w:rPr>
          <w:sz w:val="24"/>
          <w:szCs w:val="24"/>
        </w:rPr>
      </w:pPr>
    </w:p>
    <w:p w:rsidR="00D4438F" w:rsidRDefault="00D4438F" w:rsidP="00AB08E7">
      <w:pPr>
        <w:rPr>
          <w:sz w:val="24"/>
          <w:szCs w:val="24"/>
        </w:rPr>
      </w:pPr>
      <w:r>
        <w:rPr>
          <w:sz w:val="24"/>
          <w:szCs w:val="24"/>
        </w:rPr>
        <w:t>Amanda A. Barber</w:t>
      </w:r>
    </w:p>
    <w:p w:rsidR="00D4438F" w:rsidRDefault="00D4438F" w:rsidP="00AB08E7">
      <w:pPr>
        <w:rPr>
          <w:sz w:val="24"/>
          <w:szCs w:val="24"/>
        </w:rPr>
      </w:pPr>
      <w:r>
        <w:rPr>
          <w:sz w:val="24"/>
          <w:szCs w:val="24"/>
        </w:rPr>
        <w:t>District Manager</w:t>
      </w:r>
    </w:p>
    <w:p w:rsidR="00D4438F" w:rsidRDefault="00D4438F" w:rsidP="00AB08E7">
      <w:pPr>
        <w:rPr>
          <w:sz w:val="24"/>
          <w:szCs w:val="24"/>
        </w:rPr>
      </w:pPr>
    </w:p>
    <w:p w:rsidR="00D4438F" w:rsidRDefault="00D4438F" w:rsidP="00AB08E7">
      <w:pPr>
        <w:rPr>
          <w:sz w:val="24"/>
          <w:szCs w:val="24"/>
        </w:rPr>
      </w:pPr>
      <w:r>
        <w:rPr>
          <w:sz w:val="24"/>
          <w:szCs w:val="24"/>
        </w:rPr>
        <w:t>Copy:</w:t>
      </w:r>
      <w:r>
        <w:rPr>
          <w:sz w:val="24"/>
          <w:szCs w:val="24"/>
        </w:rPr>
        <w:tab/>
        <w:t>Governor David Patterson</w:t>
      </w:r>
    </w:p>
    <w:p w:rsidR="00D4438F" w:rsidRDefault="00D4438F" w:rsidP="00AB08E7">
      <w:pPr>
        <w:rPr>
          <w:sz w:val="24"/>
          <w:szCs w:val="24"/>
        </w:rPr>
      </w:pPr>
      <w:r>
        <w:rPr>
          <w:sz w:val="24"/>
          <w:szCs w:val="24"/>
        </w:rPr>
        <w:tab/>
        <w:t>Senator James Seward</w:t>
      </w:r>
    </w:p>
    <w:p w:rsidR="00D4438F" w:rsidRDefault="00D4438F" w:rsidP="00AB08E7">
      <w:pPr>
        <w:rPr>
          <w:sz w:val="24"/>
          <w:szCs w:val="24"/>
        </w:rPr>
      </w:pPr>
      <w:r>
        <w:rPr>
          <w:sz w:val="24"/>
          <w:szCs w:val="24"/>
        </w:rPr>
        <w:tab/>
        <w:t>Assemblywoman Barbara Lifton</w:t>
      </w:r>
    </w:p>
    <w:p w:rsidR="00D4438F" w:rsidRDefault="00D4438F" w:rsidP="00AB08E7">
      <w:pPr>
        <w:rPr>
          <w:sz w:val="24"/>
          <w:szCs w:val="24"/>
        </w:rPr>
      </w:pPr>
      <w:r>
        <w:rPr>
          <w:sz w:val="24"/>
          <w:szCs w:val="24"/>
        </w:rPr>
        <w:tab/>
        <w:t>Assemblyman Brian Kolb</w:t>
      </w:r>
    </w:p>
    <w:p w:rsidR="00D4438F" w:rsidRPr="00BE2B9A" w:rsidRDefault="00D4438F" w:rsidP="00AB08E7">
      <w:pPr>
        <w:rPr>
          <w:sz w:val="24"/>
          <w:szCs w:val="24"/>
        </w:rPr>
      </w:pPr>
    </w:p>
    <w:p w:rsidR="00D4438F" w:rsidRPr="008C1C05" w:rsidRDefault="00D4438F">
      <w:pPr>
        <w:rPr>
          <w:sz w:val="24"/>
          <w:szCs w:val="24"/>
        </w:rPr>
      </w:pPr>
    </w:p>
    <w:p w:rsidR="00D4438F" w:rsidRPr="008C1C05" w:rsidRDefault="00D4438F" w:rsidP="00241431">
      <w:pPr>
        <w:rPr>
          <w:sz w:val="24"/>
          <w:szCs w:val="24"/>
        </w:rPr>
      </w:pPr>
    </w:p>
    <w:p w:rsidR="00D4438F" w:rsidRPr="008C1C05" w:rsidRDefault="00D4438F">
      <w:pPr>
        <w:rPr>
          <w:sz w:val="24"/>
          <w:szCs w:val="24"/>
        </w:rPr>
      </w:pPr>
    </w:p>
    <w:sectPr w:rsidR="00D4438F" w:rsidRPr="008C1C05" w:rsidSect="00BB7E4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58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38F" w:rsidRDefault="00D4438F" w:rsidP="00C4205E">
      <w:r>
        <w:separator/>
      </w:r>
    </w:p>
  </w:endnote>
  <w:endnote w:type="continuationSeparator" w:id="0">
    <w:p w:rsidR="00D4438F" w:rsidRDefault="00D4438F" w:rsidP="00C4205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3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38F" w:rsidRDefault="00D4438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38F" w:rsidRDefault="00D4438F">
    <w:pPr>
      <w:pStyle w:val="Footer"/>
      <w:jc w:val="right"/>
    </w:pPr>
    <w:fldSimple w:instr=" PAGE   \* MERGEFORMAT ">
      <w:r>
        <w:rPr>
          <w:noProof/>
        </w:rPr>
        <w:t>1</w:t>
      </w:r>
    </w:fldSimple>
  </w:p>
  <w:p w:rsidR="00D4438F" w:rsidRDefault="00D4438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38F" w:rsidRDefault="00D4438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38F" w:rsidRDefault="00D4438F" w:rsidP="00C4205E">
      <w:r>
        <w:separator/>
      </w:r>
    </w:p>
  </w:footnote>
  <w:footnote w:type="continuationSeparator" w:id="0">
    <w:p w:rsidR="00D4438F" w:rsidRDefault="00D4438F" w:rsidP="00C420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38F" w:rsidRDefault="00D4438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38F" w:rsidRDefault="00D4438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38F" w:rsidRDefault="00D4438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420772"/>
    <w:multiLevelType w:val="hybridMultilevel"/>
    <w:tmpl w:val="EBD61268"/>
    <w:lvl w:ilvl="0" w:tplc="04090005">
      <w:start w:val="1"/>
      <w:numFmt w:val="bullet"/>
      <w:lvlText w:val=""/>
      <w:lvlJc w:val="left"/>
      <w:pPr>
        <w:tabs>
          <w:tab w:val="num" w:pos="854"/>
        </w:tabs>
        <w:ind w:left="854"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embedSystemFonts/>
  <w:defaultTabStop w:val="720"/>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04F8"/>
    <w:rsid w:val="00026A88"/>
    <w:rsid w:val="00081644"/>
    <w:rsid w:val="0009629E"/>
    <w:rsid w:val="000B2053"/>
    <w:rsid w:val="000B6BCB"/>
    <w:rsid w:val="000C2954"/>
    <w:rsid w:val="00122041"/>
    <w:rsid w:val="00143CF4"/>
    <w:rsid w:val="001715BA"/>
    <w:rsid w:val="001940C9"/>
    <w:rsid w:val="001A03B8"/>
    <w:rsid w:val="001B0817"/>
    <w:rsid w:val="001B4B9F"/>
    <w:rsid w:val="001E44AE"/>
    <w:rsid w:val="001F10A6"/>
    <w:rsid w:val="00200E9F"/>
    <w:rsid w:val="002330B6"/>
    <w:rsid w:val="00241431"/>
    <w:rsid w:val="002743AA"/>
    <w:rsid w:val="00285361"/>
    <w:rsid w:val="0029357A"/>
    <w:rsid w:val="002A4346"/>
    <w:rsid w:val="002B4536"/>
    <w:rsid w:val="002B5A72"/>
    <w:rsid w:val="00306CE8"/>
    <w:rsid w:val="003100F9"/>
    <w:rsid w:val="00342D62"/>
    <w:rsid w:val="00351B98"/>
    <w:rsid w:val="00382E82"/>
    <w:rsid w:val="003D0329"/>
    <w:rsid w:val="00400371"/>
    <w:rsid w:val="00464D24"/>
    <w:rsid w:val="004833EA"/>
    <w:rsid w:val="004E5996"/>
    <w:rsid w:val="00510C0F"/>
    <w:rsid w:val="00511E9A"/>
    <w:rsid w:val="0053070B"/>
    <w:rsid w:val="00555C32"/>
    <w:rsid w:val="00563D1A"/>
    <w:rsid w:val="005808FE"/>
    <w:rsid w:val="005F7319"/>
    <w:rsid w:val="0060309B"/>
    <w:rsid w:val="00610A93"/>
    <w:rsid w:val="00611B07"/>
    <w:rsid w:val="00642C69"/>
    <w:rsid w:val="006A6316"/>
    <w:rsid w:val="006E2107"/>
    <w:rsid w:val="006E5A40"/>
    <w:rsid w:val="006E7870"/>
    <w:rsid w:val="00745ED1"/>
    <w:rsid w:val="007C5050"/>
    <w:rsid w:val="008441E0"/>
    <w:rsid w:val="0087393A"/>
    <w:rsid w:val="008B03FD"/>
    <w:rsid w:val="008C1C05"/>
    <w:rsid w:val="008D53A2"/>
    <w:rsid w:val="00940F45"/>
    <w:rsid w:val="00963A1F"/>
    <w:rsid w:val="00A13C45"/>
    <w:rsid w:val="00A64CAD"/>
    <w:rsid w:val="00AB08E7"/>
    <w:rsid w:val="00AF6B08"/>
    <w:rsid w:val="00AF7F34"/>
    <w:rsid w:val="00B204F8"/>
    <w:rsid w:val="00B65331"/>
    <w:rsid w:val="00BB7E4B"/>
    <w:rsid w:val="00BC0E14"/>
    <w:rsid w:val="00BE2B9A"/>
    <w:rsid w:val="00BF218A"/>
    <w:rsid w:val="00C4205E"/>
    <w:rsid w:val="00C76789"/>
    <w:rsid w:val="00CA3B40"/>
    <w:rsid w:val="00CC3B2C"/>
    <w:rsid w:val="00CD233F"/>
    <w:rsid w:val="00CD5F62"/>
    <w:rsid w:val="00CE5652"/>
    <w:rsid w:val="00D20F32"/>
    <w:rsid w:val="00D428BB"/>
    <w:rsid w:val="00D4438F"/>
    <w:rsid w:val="00D4494A"/>
    <w:rsid w:val="00D93767"/>
    <w:rsid w:val="00DA054E"/>
    <w:rsid w:val="00DF1CDE"/>
    <w:rsid w:val="00DF403B"/>
    <w:rsid w:val="00E34A17"/>
    <w:rsid w:val="00E74578"/>
    <w:rsid w:val="00EE5B49"/>
    <w:rsid w:val="00F82E4E"/>
    <w:rsid w:val="00F848CC"/>
    <w:rsid w:val="00FA6303"/>
    <w:rsid w:val="00FB6145"/>
    <w:rsid w:val="00FC5F99"/>
    <w:rsid w:val="00FE6832"/>
    <w:rsid w:val="00FF60A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371"/>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4205E"/>
    <w:pPr>
      <w:tabs>
        <w:tab w:val="center" w:pos="4680"/>
        <w:tab w:val="right" w:pos="9360"/>
      </w:tabs>
    </w:pPr>
  </w:style>
  <w:style w:type="character" w:customStyle="1" w:styleId="HeaderChar">
    <w:name w:val="Header Char"/>
    <w:basedOn w:val="DefaultParagraphFont"/>
    <w:link w:val="Header"/>
    <w:uiPriority w:val="99"/>
    <w:semiHidden/>
    <w:rsid w:val="00C4205E"/>
  </w:style>
  <w:style w:type="paragraph" w:styleId="Footer">
    <w:name w:val="footer"/>
    <w:basedOn w:val="Normal"/>
    <w:link w:val="FooterChar"/>
    <w:uiPriority w:val="99"/>
    <w:rsid w:val="00C4205E"/>
    <w:pPr>
      <w:tabs>
        <w:tab w:val="center" w:pos="4680"/>
        <w:tab w:val="right" w:pos="9360"/>
      </w:tabs>
    </w:pPr>
  </w:style>
  <w:style w:type="character" w:customStyle="1" w:styleId="FooterChar">
    <w:name w:val="Footer Char"/>
    <w:basedOn w:val="DefaultParagraphFont"/>
    <w:link w:val="Footer"/>
    <w:uiPriority w:val="99"/>
    <w:rsid w:val="00C4205E"/>
  </w:style>
  <w:style w:type="paragraph" w:styleId="NormalWeb">
    <w:name w:val="Normal (Web)"/>
    <w:basedOn w:val="Normal"/>
    <w:uiPriority w:val="99"/>
    <w:semiHidden/>
    <w:rsid w:val="005808FE"/>
    <w:pPr>
      <w:spacing w:after="180" w:line="372" w:lineRule="atLeast"/>
    </w:pPr>
    <w:rPr>
      <w:rFonts w:ascii="Helvetica" w:hAnsi="Helvetica" w:cs="Helvetica"/>
      <w:sz w:val="24"/>
      <w:szCs w:val="24"/>
    </w:rPr>
  </w:style>
</w:styles>
</file>

<file path=word/webSettings.xml><?xml version="1.0" encoding="utf-8"?>
<w:webSettings xmlns:r="http://schemas.openxmlformats.org/officeDocument/2006/relationships" xmlns:w="http://schemas.openxmlformats.org/wordprocessingml/2006/main">
  <w:divs>
    <w:div w:id="1441879676">
      <w:marLeft w:val="0"/>
      <w:marRight w:val="0"/>
      <w:marTop w:val="0"/>
      <w:marBottom w:val="0"/>
      <w:divBdr>
        <w:top w:val="none" w:sz="0" w:space="0" w:color="auto"/>
        <w:left w:val="none" w:sz="0" w:space="0" w:color="auto"/>
        <w:bottom w:val="none" w:sz="0" w:space="0" w:color="auto"/>
        <w:right w:val="none" w:sz="0" w:space="0" w:color="auto"/>
      </w:divBdr>
      <w:divsChild>
        <w:div w:id="1441879679">
          <w:marLeft w:val="0"/>
          <w:marRight w:val="0"/>
          <w:marTop w:val="0"/>
          <w:marBottom w:val="0"/>
          <w:divBdr>
            <w:top w:val="none" w:sz="0" w:space="0" w:color="auto"/>
            <w:left w:val="none" w:sz="0" w:space="0" w:color="auto"/>
            <w:bottom w:val="none" w:sz="0" w:space="0" w:color="auto"/>
            <w:right w:val="none" w:sz="0" w:space="0" w:color="auto"/>
          </w:divBdr>
          <w:divsChild>
            <w:div w:id="1441879678">
              <w:marLeft w:val="0"/>
              <w:marRight w:val="0"/>
              <w:marTop w:val="0"/>
              <w:marBottom w:val="0"/>
              <w:divBdr>
                <w:top w:val="none" w:sz="0" w:space="0" w:color="auto"/>
                <w:left w:val="none" w:sz="0" w:space="0" w:color="auto"/>
                <w:bottom w:val="none" w:sz="0" w:space="0" w:color="auto"/>
                <w:right w:val="none" w:sz="0" w:space="0" w:color="auto"/>
              </w:divBdr>
              <w:divsChild>
                <w:div w:id="1441879677">
                  <w:marLeft w:val="0"/>
                  <w:marRight w:val="0"/>
                  <w:marTop w:val="0"/>
                  <w:marBottom w:val="0"/>
                  <w:divBdr>
                    <w:top w:val="none" w:sz="0" w:space="0" w:color="auto"/>
                    <w:left w:val="none" w:sz="0" w:space="0" w:color="auto"/>
                    <w:bottom w:val="none" w:sz="0" w:space="0" w:color="auto"/>
                    <w:right w:val="none" w:sz="0" w:space="0" w:color="auto"/>
                  </w:divBdr>
                  <w:divsChild>
                    <w:div w:id="144187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Pages>
  <Words>1750</Words>
  <Characters>9978</Characters>
  <Application>Microsoft Office Outlook</Application>
  <DocSecurity>0</DocSecurity>
  <Lines>0</Lines>
  <Paragraphs>0</Paragraphs>
  <ScaleCrop>false</ScaleCrop>
  <Company>Cortland County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amanda.barber</dc:creator>
  <cp:keywords/>
  <dc:description/>
  <cp:lastModifiedBy>Your User Name</cp:lastModifiedBy>
  <cp:revision>2</cp:revision>
  <cp:lastPrinted>2009-12-18T18:03:00Z</cp:lastPrinted>
  <dcterms:created xsi:type="dcterms:W3CDTF">2010-02-10T03:32:00Z</dcterms:created>
  <dcterms:modified xsi:type="dcterms:W3CDTF">2010-02-10T03:32:00Z</dcterms:modified>
</cp:coreProperties>
</file>